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2"/>
          <w:szCs w:val="2"/>
          <w:cs/>
        </w:rPr>
        <w:t>.</w:t>
      </w:r>
    </w:p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สมัครประเภท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ขยายผลมาตรฐานการบริการ</w:t>
            </w:r>
          </w:p>
        </w:tc>
      </w:tr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pStyle w:val="12"/>
              <w:tabs>
                <w:tab w:val="left" w:pos="432"/>
              </w:tabs>
              <w:spacing w:after="0" w:line="240" w:lineRule="auto"/>
              <w:ind w:left="0" w:right="251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เป็นผลงานที่เคยได้รับรางวัลบริการภาครัฐ 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“ดี”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“ดีเด่น”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>
            <w:pPr>
              <w:pStyle w:val="12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>
            <w:pPr>
              <w:pStyle w:val="12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“ดี” ชื่อผลงาน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>
            <w:pPr>
              <w:pStyle w:val="12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รูปแบบการขยายผลที่ขอรับรางวัล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กรุณา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</w:rPr>
              <w:t>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รูปแบบเท่านั้น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  <w:p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ผลการให้บริการตามมาตรฐานที่เคยได้รับรางวัลหรือดีกว่าไปในหน่วยบริการสาขาหรือพื้นที่ภายใต้สังกัดของหน่วยงานผู้สมัคร 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โดยประชาชนต้องได้รับการบริการ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ที่ดีมีคุณภาพและประสิทธิภาพอย่างเป็นรูปธรรมในแต่ละแห่งไม่น้อยกว่า 1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เริ่มขยายผลเมื่อ (วัน/เดือน/ปี)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ต่อยอดขยายผลการดำเนินงานในเชิงคุณภาพ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ในแต่ละแห่งไม่น้อยกว่า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เริ่มขยายผลเมื่อ (วัน/เดือน/ปี)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>
            <w:pPr>
              <w:pStyle w:val="12"/>
              <w:tabs>
                <w:tab w:val="left" w:pos="342"/>
                <w:tab w:val="left" w:pos="9773"/>
              </w:tabs>
              <w:spacing w:before="120"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28"/>
              </w:rPr>
            </w:pPr>
          </w:p>
          <w:p>
            <w:pPr>
              <w:pStyle w:val="12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การให้บริการได้</w:t>
            </w:r>
          </w:p>
          <w:p>
            <w:pPr>
              <w:pStyle w:val="a3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แสดงข้อมูลผลการให้บริการของทุกหน่วยงานสาขาหรือหน่วยงานในพื้นที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่ที่ไป   ขยายผล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ในเชิงประจักษ์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(ควรแสดงตัวชี้วัดที่ใช้ในการวัดผลการให้บริการพร้อมผลลัพธ์ที่ชัดเจน เช่น 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รวมถึง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ผลลัพธ์/ผลกระทบที่ประชาชนได้รับที่ครอบคลุมทุกหน่วยงานสาขาหรือหน่วยงานในพื้นที่การขยายผล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……………………………...…………….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………………………………………...…………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</w:t>
      </w:r>
    </w:p>
    <w:p>
      <w:pPr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…………………………….…………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………………………………………….…………………….</w:t>
      </w: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ส่วนที่ 1 สรุปผลการดำเนินการในภาพรวม</w:t>
            </w:r>
          </w:p>
        </w:tc>
      </w:tr>
      <w:tr>
        <w:trPr>
          <w:trHeight w:val="1209"/>
        </w:trP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เริ่มนับหน้าที่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ตั้งแต่บทสรุปสำหรับผู้บริหาร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อธิบายกระบวนการและขั้นตอน จุดเด่น ในการให้บริการของผลงานที่เคยได้รับรางวัล (ผลงานต้นแบบ)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ที่มา/สาเหตุ/ความจำเป็นในการขยายผลงาน และบทบาทในการดำเนินการของหน่วยงานที่รับผิดชอบผลงานและหน่วยงานต้นสังกัด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วิธีการและรูปแบบการให้บริการของผลงาน</w:t>
      </w:r>
      <w:r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ผลผลิตและผลลัพธ์จากการดำเนินการขยายผล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ผลการดำเนินการ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4"/>
        <w:gridCol w:w="567"/>
        <w:gridCol w:w="4535"/>
        <w:gridCol w:w="7032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90627603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แบบฟอร์มสมัครประเภท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ขยายผลมาตรฐานการบริการ</w:t>
            </w:r>
          </w:p>
        </w:tc>
      </w:tr>
      <w:tr>
        <w:trPr>
          <w:trHeight w:val="20"/>
          <w:tblHeader/>
        </w:trPr>
        <w:tc>
          <w:tcPr>
            <w:tcW w:w="786" w:type="pct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2" w:type="pct"/>
            <w:gridSpan w:val="2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hanging="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pacing w:val="-10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กระบวนการจัดการ (40 คะแนน)</w:t>
            </w: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วางแผน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และสื่อสารการนำผลงานไปขยายผล 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มีการกำหนดเป้าหมายของการขยายผล เช่น การพัฒนาต่อยอดขยายผลของผลงานในเชิงคุณภาพ เป็นต้น 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มีกลยุทธ์ที่สำคัญในการผลักดันให้การขยายผลมาตรฐานการบริการบรรลุสัมฤทธิ์ผล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968683"/>
                <w:docPartObj>
                  <w:docPartGallery w:val="Watermarks"/>
                </w:docPartObj>
              </w:sdtPr>
              <w:sdtContent/>
            </w:sdt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มีการวางแผนงานที่ระบุขั้นตอน กรอบระยะเวลาของการขยายผลที่ชัดเจน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มีเหตุผล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ความจำเป็น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ความท้าทายและความพร้อม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ในการนำผลงานต้นแบบไปขยายผลอย่างไร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40"/>
                <w:szCs w:val="40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มีเหตุผลความจำเป็นที่ต้องนำผลงานต้นแบบไปขยายผลใน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หน่วยบริการสาขา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พื้นที่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หรือต่อยอดขยายผลในเชิงคุณภาพ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มีความท้าทายในการค้นหาผลงานต้นแบบที่จะนำไปขยายผลที่เหมาะสมกับสภาพปัญหา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ลักษณะของหน่วยงาน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สถานการณ์และสิ่งแวดล้อมของหน่วยงาน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40"/>
                <w:szCs w:val="40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หน่วยงานมีความพร้อมในการขยายผล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การจัดสรรทรัพยากร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การพัฒนาบุคลากรให้มีขีดความสามารถในการขยายผลการบริการ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และการแก้ไขปัญหาอื่น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1,000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มีกระบวนการ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ในการนำผลงานต้นแบบไปขยายผลในหน่วยบริการสาขา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ต่อยอดขยายผลในเชิงคุณภาพอย่างไร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มีข้อมูลแสดงวิธีการ/ขั้นตอน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และความท้าทาย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ขยายผลในหน่วย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บริการสาขา/พื้นที่ หรือ ต่อยอดขยายผลในเชิงคุณภาพ ที่เป็นทางการและเชื่อถือได้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3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มีรูปแบบ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การให้บริการที่ได้จากการนำผลงานต้นแบบไปขยายผลในหน่วยบริการสาขา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/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ต่อยอดขยายผล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ในเชิงคุณภาพอย่างไร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รูปแบบการให้บริการที่ได้จากการนำผลงานต้นแบบไปขยายผลในหน่วยบริการสาขา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พื้นที่และต่อยอดขยายผลในเชิงคุณภาพ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ขยายผลในหน่วยบริการสาขา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พื้นที่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หรือต่อยอดขยายผล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ในเชิงคุณภาพ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อธิบายเปรียบเทียบ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2,000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มีวิธีการ/ขั้นตอน/กลไกในการติดตามประเมินผลเพื่อควบคุม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คุณภาพและมาตรฐานการให้บริการอย่างไร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มีวิธีการ/ขั้นตอน/กลไกสำหรับการติดตามประเมินผลการให้บริการของแต่ละหน่วยงานสาขาหรือพื้นที่ หรือ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ต่อยอด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ขยายผลในเชิงคุณภาพ เพื่อให้มั่นใจว่า การ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บริการมีคุณภาพและมาตรฐานตามที่กำหนด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อย่างชัดเจน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มีการกำหนดมาตรฐานการปฏิบัติงานให้แก่หน่วยบริการสาขา/พื้นที่ มี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วิธีการ/ขั้นตอน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/กลไก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ในการติดตามประเมินผลการ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ควบคุมคุณภาพและ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มาตรฐานการให้บริการ เป็นต้น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3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มิติที่ 2 ผลผลิต ผลลัพธ์ เชิงประจักษ์ (60 คะแนน)</w:t>
            </w: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ผลผลิตที่สะท้อนถึงประโยชน์ที่ได้รับจากการขยายผลมาตรฐานการบริการอย่างไร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อธิบาย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การวัดผลผลิต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และผลผลิต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มีข้อมูลหรือการวัดผลผลิตที่แสดงความสำเร็จตามเป้าหมาย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ในการแก้ไขปัญหา และเป้าหมายในการขยายผล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ที่กำหนดไว้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ขยายผลในหน่วยบริการสาขา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พื้นที่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80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ต่อยอดขยายผลในเชิงคุณภาพ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>แผนภูมิ</w:t>
            </w:r>
            <w:r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ที่แสดงผลการเปรียบเทียบผลผลิตของผลงานต้นแบบ และผลผลิตของผลงานที่ได้นำต้นแบบไปขยายผล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3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7.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มีผลลัพธ์ที่สะท้อนถึงประโยชน์ที่ผู้รับบริการได้รับ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จากการขยายผลมาตรฐานการบริการอย่างไร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หรือผลลัพธ์ที่สะท้อนถึงประโยชน์ที่ผู้รับบริการได้รับจากการขยายผลมาตรฐานการบริการที่ดีขึ้นจากเดิมอย่างมีนัยสำคัญ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เป็นที่ประจักษ์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เกิดผลกระทบสูง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3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มีผลลัพธ์ที่สะท้อนผลกระทบเชิงบวก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เกิดประโยชน์ต่อสังคม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ประเทศในด้านต่าง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เศรษฐกิจ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สาธารณสุข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สิ่งแวดล้อม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ความมั่นคง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ที่ได้รับจากการขยายผลมาตรฐานการบริการ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43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มีข้อมูลหรือการวัดผลที่แสดงความพึงพอใจของผู้รับบริการ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ประสบการณ์ของผู้รับบริการจากผลงาน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>(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กรณีอธิบายโดย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Flowchart/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แผนภูมิ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แนบเอกสารความยาวไม่เกิน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1 </w:t>
            </w:r>
            <w:r>
              <w:rPr>
                <w:rFonts w:ascii="THSarabunPSK" w:hAnsi="THSarabunPSK" w:cs="THSarabunPSK" w:hint="cs"/>
                <w:color w:val="0070C0"/>
                <w:sz w:val="32"/>
                <w:szCs w:val="32"/>
                <w:cs/>
              </w:rPr>
              <w:t>หน้ากระดาษ</w:t>
            </w:r>
            <w:r>
              <w:rPr>
                <w:rFonts w:ascii="THSarabunPSK" w:hAnsi="THSarabunPSK" w:cs="THSarabunPSK"/>
                <w:color w:val="0070C0"/>
                <w:sz w:val="32"/>
                <w:szCs w:val="32"/>
              </w:rPr>
              <w:t xml:space="preserve"> A4)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3,000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มีการควบคุมมาตรฐาน/คุณภาพการให้บริการ และความพร้อมในการนำผลงานต้นแบบไปดำเนินการอย่างไร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สดงการควบคุมมาตรฐาน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คุณภาพการบริการของหน่วยงานที่รับผิดชอบการขยายผล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ความพร้อมของหน่วยงานบริการสาขา/พื้นที่ที่ได้ดำเนินการ หรือ ความพร้อมของ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หน่วยงานในการต่อยอดขยายผลในเชิงคุณภาพ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lastRenderedPageBreak/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สูงกว่าผลงานต้นแบบหรือไม่ อย่างไร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มีข้อมูลที่แสดงถึงการ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ให้บริการของผลงานที่สูงขึ้นกว่ามาตรฐานของผลงานต้นแบบ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ความยั่งยืนของการขยายผลมาตรฐานการ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มีการสรุปบทเรียน มีการวางแผนเพื่อการขยายผลความร่วมมือที่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(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ไม่เกิน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2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 xml:space="preserve">,000 </w:t>
            </w:r>
            <w:r>
              <w:rPr>
                <w:rFonts w:ascii="THSarabunPSK-Italic" w:hAnsi="THSarabunPSK-Italic" w:cs="THSarabunPSK-Italic" w:hint="cs"/>
                <w:i/>
                <w:iCs/>
                <w:sz w:val="28"/>
                <w:cs/>
              </w:rPr>
              <w:t>ตัวอักษร</w:t>
            </w:r>
            <w:r>
              <w:rPr>
                <w:rFonts w:ascii="THSarabunPSK-Italic" w:hAnsi="THSarabunPSK-Italic" w:cs="THSarabunPSK-Italic"/>
                <w:i/>
                <w:iCs/>
                <w:sz w:val="28"/>
              </w:rPr>
              <w:t>)</w:t>
            </w:r>
          </w:p>
        </w:tc>
      </w:tr>
      <w:bookmarkEnd w:id="0"/>
    </w:tbl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>
      <w:pPr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3"/>
      <w:footerReference w:type="default" r:id="rId14"/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SarabunPSK-Italic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793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7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1"/>
  </w:num>
  <w:num w:numId="5">
    <w:abstractNumId w:val="24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 w:numId="26">
    <w:abstractNumId w:val="10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7B5DA-FCCA-4DC2-BE6D-728F7960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1508</Words>
  <Characters>8662</Characters>
  <Application>Microsoft Office Word</Application>
  <DocSecurity>0</DocSecurity>
  <Lines>320</Lines>
  <Paragraphs>161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14</cp:revision>
  <cp:lastPrinted>2016-11-22T01:46:00Z</cp:lastPrinted>
  <dcterms:created xsi:type="dcterms:W3CDTF">2023-11-02T08:37:00Z</dcterms:created>
  <dcterms:modified xsi:type="dcterms:W3CDTF">2023-11-16T09:34:00Z</dcterms:modified>
</cp:coreProperties>
</file>