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แบบฟอร์มการสมัครรางวัลการบริหารราชการแบบมีส่วนร่วม</w:t>
      </w:r>
    </w:p>
    <w:p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ประจำปี พ.ศ. 2566</w:t>
      </w:r>
    </w:p>
    <w:p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</w:p>
    <w:p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โปรดทำเครื่องหมาย </w:t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 ลงในช่องที่ตรงกับความจริงเกี่ยวกับผลงานที่นำเสนอ </w:t>
      </w:r>
    </w:p>
    <w:p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0" w:name="_Hlk531938319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เป็นผลงาน</w:t>
      </w:r>
      <w:r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ที่เ</w:t>
      </w:r>
      <w:r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ป็นการทำงานแบบมีส่วนร่วมใน</w:t>
      </w:r>
      <w:r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ระดับความร่วมมือ</w:t>
      </w:r>
      <w:r>
        <w:rPr>
          <w:rFonts w:ascii="TH SarabunPSK" w:eastAsia="Tahom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  <w:t>(Co</w:t>
      </w:r>
      <w:bookmarkEnd w:id="0"/>
      <w:r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  <w:t>llaborate)</w:t>
      </w:r>
      <w:r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  <w:bookmarkStart w:id="1" w:name="_Hlk531938411"/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และมี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>ผลสำเร็จ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br/>
        <w:t>ที่เป็นรูปธรรม</w:t>
      </w:r>
      <w:r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โดย</w:t>
      </w:r>
      <w:r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มีการดำเนินงานมาแล้วไม่น้อยกว่า 1 ปี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และไม่เคย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ได้รับรางวัลการบริหารราชการแบบมี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ส่วนร่วมมาก่อน</w:t>
      </w:r>
    </w:p>
    <w:bookmarkEnd w:id="1"/>
    <w:p>
      <w:pPr>
        <w:spacing w:after="0"/>
        <w:ind w:firstLine="720"/>
        <w:jc w:val="thaiDistribute"/>
        <w:rPr>
          <w:rFonts w:ascii="TH SarabunPSK" w:eastAsia="Tahoma" w:hAnsi="TH SarabunPSK" w:cs="TH SarabunPSK"/>
          <w:spacing w:val="-6"/>
          <w:kern w:val="2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เป็น</w:t>
      </w:r>
      <w:r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การ</w:t>
      </w:r>
      <w:r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ดำเนิน</w:t>
      </w:r>
      <w:r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งานตามอำนาจหน้าที่หรือ</w:t>
      </w:r>
      <w:r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ภารกิจหลัก</w:t>
      </w:r>
      <w:r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ขององค์การ หรือ</w:t>
      </w:r>
      <w:r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 xml:space="preserve">นโยบายสำคัญของรัฐบาล หรือมติคณะรัฐมนตรี </w:t>
      </w:r>
      <w:r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รวมถึงสอดคล้อง</w:t>
      </w:r>
      <w:r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กับเป้าหมายการพัฒนาที่ยั่งยืน (</w:t>
      </w:r>
      <w:r>
        <w:rPr>
          <w:rFonts w:ascii="TH SarabunPSK" w:eastAsia="Tahoma" w:hAnsi="TH SarabunPSK" w:cs="TH SarabunPSK"/>
          <w:spacing w:val="-6"/>
          <w:kern w:val="24"/>
          <w:sz w:val="32"/>
          <w:szCs w:val="32"/>
        </w:rPr>
        <w:t xml:space="preserve">Sustainable Development Goals: SDGs) </w:t>
      </w:r>
      <w:r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ยุ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ทธศาสตร์การขับเคลื่อนประเทศไทยด้วยโมเดลเศรษฐกิจ </w:t>
      </w:r>
      <w:r>
        <w:rPr>
          <w:rFonts w:ascii="TH SarabunPSK" w:hAnsi="TH SarabunPSK" w:cs="TH SarabunPSK"/>
          <w:spacing w:val="-6"/>
          <w:sz w:val="32"/>
          <w:szCs w:val="32"/>
        </w:rPr>
        <w:t>BCG (Bio-Circular-Green Economy : BCG Model)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pacing w:val="-6"/>
          <w:sz w:val="32"/>
          <w:szCs w:val="32"/>
        </w:rPr>
        <w:t>2564 -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>2569</w:t>
      </w:r>
      <w:r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 xml:space="preserve"> </w:t>
      </w:r>
    </w:p>
    <w:p>
      <w:pPr>
        <w:shd w:val="clear" w:color="auto" w:fill="B4C6E7" w:themeFill="accent5" w:themeFillTint="66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2" w:name="_Hlk59113292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ข้อมูลของหน่วยงานที่สมัครขอรับรางวัล</w:t>
      </w:r>
    </w:p>
    <w:bookmarkEnd w:id="2"/>
    <w:p>
      <w:pPr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273" w:right="-227" w:hanging="284"/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8" w:right="-187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หน่วยงานที่รับผิดชอบผลงาน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70" w:right="-224" w:hanging="284"/>
        <w:rPr>
          <w:rFonts w:ascii="TH SarabunPSK" w:hAnsi="TH SarabunPSK" w:cs="TH SarabunPSK"/>
          <w:i/>
          <w:i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i/>
          <w:iCs/>
          <w:sz w:val="32"/>
          <w:szCs w:val="32"/>
          <w:u w:val="dotted"/>
        </w:rPr>
        <w:tab/>
      </w:r>
      <w:r>
        <w:rPr>
          <w:rFonts w:ascii="TH SarabunPSK" w:hAnsi="TH SarabunPSK" w:cs="TH SarabunPSK"/>
          <w:i/>
          <w:iCs/>
          <w:sz w:val="32"/>
          <w:szCs w:val="32"/>
          <w:u w:val="dotted"/>
        </w:rPr>
        <w:tab/>
      </w:r>
    </w:p>
    <w:p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8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(อย่างน้อย 2 คน)</w:t>
      </w:r>
    </w:p>
    <w:p>
      <w:pPr>
        <w:spacing w:after="0"/>
        <w:ind w:left="630" w:right="-191" w:hanging="34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4.1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ชื่อ-นามสกุล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>
      <w:pPr>
        <w:spacing w:after="0"/>
        <w:ind w:left="630" w:right="-19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>
      <w:pPr>
        <w:spacing w:after="0"/>
        <w:ind w:left="709" w:right="-101" w:hanging="7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>
      <w:pPr>
        <w:spacing w:after="0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>
      <w:pPr>
        <w:spacing w:after="0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>
      <w:pPr>
        <w:spacing w:after="0"/>
        <w:ind w:left="720" w:right="-187" w:hanging="432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.2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ชื่อ-นามสกุล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>
      <w:pPr>
        <w:spacing w:after="0"/>
        <w:ind w:right="-187" w:firstLine="63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>
      <w:pPr>
        <w:spacing w:after="0"/>
        <w:ind w:left="709" w:right="-191" w:hanging="79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>
      <w:pPr>
        <w:spacing w:after="0"/>
        <w:ind w:left="709" w:right="-191" w:hanging="79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>
      <w:pPr>
        <w:spacing w:after="0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>
      <w:pPr>
        <w:spacing w:after="0"/>
        <w:ind w:left="426" w:right="-191" w:firstLine="283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>
      <w:pPr>
        <w:tabs>
          <w:tab w:val="left" w:pos="270"/>
          <w:tab w:val="left" w:pos="54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>
      <w:pPr>
        <w:tabs>
          <w:tab w:val="left" w:pos="270"/>
          <w:tab w:val="left" w:pos="54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>
      <w:pPr>
        <w:tabs>
          <w:tab w:val="left" w:pos="270"/>
          <w:tab w:val="left" w:pos="54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>
      <w:pPr>
        <w:tabs>
          <w:tab w:val="left" w:pos="270"/>
          <w:tab w:val="left" w:pos="54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>
      <w:pPr>
        <w:tabs>
          <w:tab w:val="left" w:pos="270"/>
          <w:tab w:val="left" w:pos="54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>
      <w:pPr>
        <w:tabs>
          <w:tab w:val="left" w:pos="270"/>
          <w:tab w:val="left" w:pos="54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>
      <w:pPr>
        <w:tabs>
          <w:tab w:val="left" w:pos="270"/>
          <w:tab w:val="left" w:pos="546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>
      <w:pPr>
        <w:shd w:val="clear" w:color="auto" w:fill="B4C6E7" w:themeFill="accent5" w:themeFillTint="66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</w:pPr>
      <w:r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lastRenderedPageBreak/>
        <w:t>รายงาน</w:t>
      </w:r>
      <w:r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  <w:t>ผลการดำเนินการเปิดระบบราชการให้ประชาชนเข้ามามีส่วนร่วม</w:t>
      </w:r>
    </w:p>
    <w:p>
      <w:pPr>
        <w:spacing w:beforeLines="60" w:before="144" w:afterLines="60" w:after="14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ให้อธิบายโดย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สรุปผลการดำเนินการในภาพรวม (ที่มาของปัญหา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การดำเนินการ ความสำเร็จของการดำเนินการและปัจจัยความสำเร็จโดยย่อ)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โดยมีวัตถุประสงค์เพื่อให้ผู้ตรวจประเมินรางวัลได้เห็นภาพรวมในการดำเนินการ โดยต้องใช้ตัวอักษร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TH SarabunPSK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ขนาด 16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โปรดศึกษาเกณฑ์การพิจารณาประกอบการตอบคำถาม)</w:t>
      </w:r>
    </w:p>
    <w:p>
      <w:pPr>
        <w:shd w:val="clear" w:color="auto" w:fill="D9D9D9" w:themeFill="background1" w:themeFillShade="D9"/>
        <w:spacing w:beforeLines="60" w:before="144" w:afterLines="60" w:after="144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ส่วนที่ 1 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บทสรุปผู้บริหาร (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Executive Summary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ความยาวต้องไม่เกิน</w:t>
      </w:r>
      <w:r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3 </w:t>
      </w:r>
      <w:r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>A</w:t>
      </w:r>
      <w:r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4</w:t>
      </w:r>
    </w:p>
    <w:p>
      <w:pPr>
        <w:spacing w:after="0"/>
        <w:ind w:left="357" w:right="-11" w:hanging="357"/>
        <w:rPr>
          <w:rFonts w:ascii="TH SarabunPSK" w:hAnsi="TH SarabunPSK" w:cs="TH SarabunPSK"/>
          <w:b/>
          <w:bCs/>
          <w:spacing w:val="-4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Cs w:val="32"/>
          <w:cs/>
        </w:rPr>
        <w:t>1. ที่มา</w:t>
      </w:r>
      <w:r>
        <w:rPr>
          <w:rFonts w:ascii="TH SarabunPSK" w:hAnsi="TH SarabunPSK" w:cs="TH SarabunPSK"/>
          <w:b/>
          <w:bCs/>
          <w:spacing w:val="-4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4"/>
          <w:szCs w:val="32"/>
          <w:cs/>
        </w:rPr>
        <w:t>ปัญหา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/>
        <w:ind w:left="357" w:right="-11" w:hanging="357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(วิธีการ/รูปแบบ)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/>
        <w:ind w:right="-11"/>
        <w:rPr>
          <w:rFonts w:ascii="TH SarabunPSK" w:hAnsi="TH SarabunPSK" w:cs="TH SarabunPSK"/>
          <w:b/>
          <w:bCs/>
          <w:spacing w:val="-6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ความสำเร็จของการดำเนินการ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ผลผลิต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ผลกระทบ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/>
        <w:ind w:right="-11"/>
        <w:rPr>
          <w:rFonts w:ascii="TH SarabunPSK" w:hAnsi="TH SarabunPSK" w:cs="TH SarabunPSK"/>
          <w:b/>
          <w:bCs/>
          <w:spacing w:val="-6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ปั</w:t>
      </w:r>
      <w:r>
        <w:rPr>
          <w:rFonts w:ascii="TH SarabunPSK" w:hAnsi="TH SarabunPSK" w:cs="TH SarabunPSK" w:hint="cs"/>
          <w:b/>
          <w:bCs/>
          <w:spacing w:val="-6"/>
          <w:szCs w:val="32"/>
          <w:cs/>
        </w:rPr>
        <w:t>จจัยความสำเร็จ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hd w:val="clear" w:color="auto" w:fill="D9D9D9" w:themeFill="background1" w:themeFillShade="D9"/>
        <w:spacing w:beforeLines="60" w:before="144" w:afterLines="60" w:after="144" w:line="216" w:lineRule="auto"/>
        <w:ind w:right="-710" w:hanging="567"/>
        <w:rPr>
          <w:rFonts w:ascii="TH SarabunPSK Bold" w:hAnsi="TH SarabunPSK Bold" w:cs="TH SarabunPSK"/>
          <w:b/>
          <w:bCs/>
          <w:sz w:val="38"/>
          <w:szCs w:val="36"/>
          <w:cs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40" w:right="1021" w:bottom="992" w:left="1440" w:header="680" w:footer="360" w:gutter="0"/>
          <w:cols w:space="720"/>
          <w:docGrid w:linePitch="360"/>
        </w:sectPr>
      </w:pPr>
    </w:p>
    <w:p>
      <w:pPr>
        <w:shd w:val="clear" w:color="auto" w:fill="D9D9D9" w:themeFill="background1" w:themeFillShade="D9"/>
        <w:spacing w:beforeLines="60" w:before="144" w:afterLines="60" w:after="144" w:line="216" w:lineRule="auto"/>
        <w:ind w:right="-710"/>
        <w:rPr>
          <w:rFonts w:ascii="TH SarabunPSK Bold" w:hAnsi="TH SarabunPSK Bold" w:cs="TH SarabunPSK"/>
          <w:b/>
          <w:bCs/>
          <w:sz w:val="38"/>
          <w:szCs w:val="36"/>
          <w:cs/>
        </w:rPr>
      </w:pPr>
      <w:r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ส่วนที่ 2 สรุป</w:t>
      </w:r>
      <w:r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</w:p>
    <w:tbl>
      <w:tblPr>
        <w:tblStyle w:val="TableGrid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849"/>
        <w:gridCol w:w="5244"/>
        <w:gridCol w:w="4495"/>
        <w:gridCol w:w="98"/>
        <w:gridCol w:w="207"/>
        <w:gridCol w:w="2658"/>
      </w:tblGrid>
      <w:tr>
        <w:trPr>
          <w:trHeight w:val="20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CDFF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รายการตัวชี้วัดและแนวทางการพิจารณา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ประเภทสัมฤทธิผลประชาชนมีส่วนร่วม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(Effective Change)</w:t>
            </w:r>
          </w:p>
        </w:tc>
      </w:tr>
      <w:tr>
        <w:trPr>
          <w:trHeight w:val="20"/>
          <w:jc w:val="center"/>
        </w:trPr>
        <w:tc>
          <w:tcPr>
            <w:tcW w:w="4005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</w:tcPr>
          <w:p>
            <w:pPr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มิติที่ 1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: ความ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สำคัญของปัญหาและความสามารถขององค์กร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CB9CA" w:themeFill="text2" w:themeFillTint="66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1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</w:p>
        </w:tc>
      </w:tr>
      <w:tr>
        <w:trPr>
          <w:trHeight w:val="20"/>
          <w:jc w:val="center"/>
        </w:trPr>
        <w:tc>
          <w:tcPr>
            <w:tcW w:w="4005" w:type="pct"/>
            <w:gridSpan w:val="5"/>
            <w:tcBorders>
              <w:right w:val="nil"/>
            </w:tcBorders>
            <w:shd w:val="clear" w:color="auto" w:fill="D5DCE4" w:themeFill="text2" w:themeFillTint="33"/>
            <w:vAlign w:val="center"/>
          </w:tcPr>
          <w:p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1.1 </w:t>
            </w: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ความเป็นมาและความสำคัญของปัญหา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995" w:type="pct"/>
            <w:gridSpan w:val="2"/>
            <w:tcBorders>
              <w:left w:val="nil"/>
            </w:tcBorders>
            <w:shd w:val="clear" w:color="auto" w:fill="D5DCE4" w:themeFill="text2" w:themeFillTint="33"/>
            <w:vAlign w:val="center"/>
          </w:tcPr>
          <w:p>
            <w:pPr>
              <w:spacing w:after="0" w:line="240" w:lineRule="auto"/>
              <w:ind w:left="0" w:righ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 xml:space="preserve">1.  </w:t>
            </w:r>
            <w:r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วิเคราะห์ความสำคัญของปัญหา/ที่มา ที่ทำให้ต้องนำกระบวนการมีส่วนร่วมของประชาชนมาใช้ในการดำเนินการตามภารกิจขององค์กรและสอดคล้องกับบริบทของพื้นที่ รวมถึงวัตถุประสงค์และเป้าหมายในการดำเนินงาน</w:t>
            </w:r>
          </w:p>
        </w:tc>
      </w:tr>
      <w:tr>
        <w:trPr>
          <w:trHeight w:val="20"/>
          <w:jc w:val="center"/>
        </w:trPr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tabs>
                <w:tab w:val="right" w:pos="635"/>
              </w:tabs>
              <w:spacing w:after="0" w:line="240" w:lineRule="auto"/>
              <w:ind w:left="27" w:right="0" w:hanging="281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br/>
              <w:t>ดำเนิ</w:t>
            </w: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tabs>
                <w:tab w:val="right" w:pos="635"/>
              </w:tabs>
              <w:spacing w:after="0" w:line="240" w:lineRule="auto"/>
              <w:ind w:left="27" w:right="0" w:hanging="280"/>
              <w:jc w:val="right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33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  <w:p>
            <w:pPr>
              <w:tabs>
                <w:tab w:val="right" w:pos="635"/>
              </w:tabs>
              <w:spacing w:after="0" w:line="240" w:lineRule="auto"/>
              <w:ind w:left="27" w:hanging="281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tabs>
                <w:tab w:val="right" w:pos="635"/>
              </w:tabs>
              <w:spacing w:after="0" w:line="240" w:lineRule="auto"/>
              <w:ind w:left="27" w:hanging="280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a3"/>
              <w:tabs>
                <w:tab w:val="left" w:pos="30"/>
                <w:tab w:val="left" w:pos="192"/>
              </w:tabs>
              <w:spacing w:after="0" w:line="240" w:lineRule="auto"/>
              <w:ind w:left="28" w:right="0" w:hanging="28"/>
              <w:contextualSpacing w:val="0"/>
              <w:rPr>
                <w:rFonts w:ascii="TH SarabunPSK" w:eastAsia="Calibri" w:hAnsi="TH SarabunPSK" w:cs="TH SarabunPSK"/>
                <w:spacing w:val="-10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วิเคราะห์ความสำคัญของปัญหา/ที่มา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ที่ทำให้ต้องนำกระบวนการมีส่วนร่วมของประชาชนมาใช้ในการดำเนินการตามภารกิจขององค์กรและสอดคล้อง</w:t>
            </w:r>
            <w:r>
              <w:rPr>
                <w:rFonts w:ascii="TH SarabunPSK" w:eastAsia="Calibri" w:hAnsi="TH SarabunPSK" w:cs="TH SarabunPSK"/>
                <w:spacing w:val="-18"/>
                <w:szCs w:val="32"/>
                <w:cs/>
              </w:rPr>
              <w:t>กับบริบทของพื้นที่</w:t>
            </w:r>
            <w:r>
              <w:rPr>
                <w:rFonts w:ascii="TH SarabunPSK" w:eastAsia="Calibri" w:hAnsi="TH SarabunPSK" w:cs="TH SarabunPSK" w:hint="cs"/>
                <w:spacing w:val="-18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18"/>
                <w:szCs w:val="32"/>
                <w:cs/>
              </w:rPr>
              <w:t>รวมถึงวัตถุประสงค์</w:t>
            </w:r>
            <w:r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และเป้าหมายในการดำเนินงาน</w:t>
            </w:r>
          </w:p>
          <w:p>
            <w:pPr>
              <w:pStyle w:val="a3"/>
              <w:tabs>
                <w:tab w:val="left" w:pos="30"/>
                <w:tab w:val="left" w:pos="192"/>
              </w:tabs>
              <w:spacing w:after="0" w:line="240" w:lineRule="auto"/>
              <w:ind w:left="28" w:right="0" w:hanging="28"/>
              <w:contextualSpacing w:val="0"/>
              <w:rPr>
                <w:rFonts w:ascii="TH SarabunPSK" w:eastAsia="Calibri" w:hAnsi="TH SarabunPSK" w:cs="TH SarabunPSK"/>
                <w:spacing w:val="-10"/>
                <w:szCs w:val="32"/>
              </w:rPr>
            </w:pPr>
          </w:p>
          <w:p>
            <w:pPr>
              <w:pStyle w:val="a3"/>
              <w:tabs>
                <w:tab w:val="left" w:pos="30"/>
                <w:tab w:val="left" w:pos="192"/>
              </w:tabs>
              <w:spacing w:after="0" w:line="240" w:lineRule="auto"/>
              <w:ind w:left="28" w:right="0" w:hanging="28"/>
              <w:contextualSpacing w:val="0"/>
              <w:rPr>
                <w:rFonts w:ascii="TH SarabunPSK" w:eastAsia="Calibri" w:hAnsi="TH SarabunPSK" w:cs="TH SarabunPSK"/>
                <w:spacing w:val="-10"/>
                <w:szCs w:val="32"/>
                <w:cs/>
              </w:rPr>
            </w:pPr>
          </w:p>
        </w:tc>
        <w:tc>
          <w:tcPr>
            <w:tcW w:w="259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458"/>
          <w:jc w:val="center"/>
        </w:trPr>
        <w:tc>
          <w:tcPr>
            <w:tcW w:w="5000" w:type="pct"/>
            <w:gridSpan w:val="7"/>
          </w:tcPr>
          <w:p>
            <w:pPr>
              <w:tabs>
                <w:tab w:val="center" w:pos="4513"/>
                <w:tab w:val="right" w:pos="9026"/>
                <w:tab w:val="left" w:pos="9815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2.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ปัญหากับประชาชนกลุ่มประชาชนในพื้นที่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หรือผลกระทบ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ของปัญหา</w:t>
            </w:r>
          </w:p>
        </w:tc>
      </w:tr>
      <w:tr>
        <w:trPr>
          <w:trHeight w:val="20"/>
          <w:jc w:val="center"/>
        </w:trPr>
        <w:tc>
          <w:tcPr>
            <w:tcW w:w="589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>
        <w:trPr>
          <w:trHeight w:val="20"/>
          <w:jc w:val="center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tabs>
                <w:tab w:val="right" w:pos="635"/>
              </w:tabs>
              <w:spacing w:after="0" w:line="240" w:lineRule="auto"/>
              <w:ind w:left="27" w:right="0" w:hanging="281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     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br/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tabs>
                <w:tab w:val="right" w:pos="635"/>
              </w:tabs>
              <w:spacing w:after="0" w:line="240" w:lineRule="auto"/>
              <w:ind w:left="10" w:right="0" w:hanging="9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1307"/>
          <w:jc w:val="center"/>
        </w:trPr>
        <w:tc>
          <w:tcPr>
            <w:tcW w:w="29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>
            <w:pPr>
              <w:tabs>
                <w:tab w:val="right" w:pos="635"/>
              </w:tabs>
              <w:spacing w:after="0" w:line="240" w:lineRule="auto"/>
              <w:ind w:left="27" w:right="0" w:hanging="282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-104" w:right="0" w:hanging="142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ปัญหามีขอบเขตหรือผลกระทบ</w:t>
            </w:r>
            <w:r>
              <w:rPr>
                <w:rFonts w:ascii="TH SarabunPSK" w:hAnsi="TH SarabunPSK" w:cs="TH SarabunPSK"/>
                <w:color w:val="000000" w:themeColor="text1"/>
                <w:spacing w:val="-18"/>
                <w:sz w:val="32"/>
                <w:szCs w:val="32"/>
                <w:cs/>
              </w:rPr>
              <w:t>ในระดับใดบ้าง เช่น ระดับพื้นที่หน่วยงาน</w:t>
            </w:r>
            <w:r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ระดับภูมิภาค ระดับประเทศ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เป็นต้นโปรดอธิบายข้อมูลประกอบ รวมทั้งระบุ ประชาชนหรือผู้รับบริการ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กลุ่มใดบ้างที่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ได้รับผลกระทบ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(เป็นใคร จำนวนเท่าไร)</w:t>
            </w:r>
          </w:p>
          <w:p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>
            <w:pPr>
              <w:spacing w:after="0" w:line="240" w:lineRule="auto"/>
              <w:ind w:left="-11" w:right="0" w:firstLine="0"/>
              <w:jc w:val="left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</w:tc>
      </w:tr>
      <w:tr>
        <w:trPr>
          <w:trHeight w:val="290"/>
          <w:jc w:val="center"/>
        </w:trPr>
        <w:tc>
          <w:tcPr>
            <w:tcW w:w="4077" w:type="pct"/>
            <w:gridSpan w:val="6"/>
            <w:tcBorders>
              <w:right w:val="nil"/>
            </w:tcBorders>
            <w:shd w:val="clear" w:color="auto" w:fill="D5DCE4" w:themeFill="text2" w:themeFillTint="33"/>
          </w:tcPr>
          <w:p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lastRenderedPageBreak/>
              <w:t>1.2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ความสามารถขององค์กร 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ศักยภาพของหน่วยงานที่สามารถตอบสนองต่อปัญหา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)</w:t>
            </w: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923" w:type="pct"/>
            <w:tcBorders>
              <w:left w:val="nil"/>
            </w:tcBorders>
            <w:shd w:val="clear" w:color="auto" w:fill="D5DCE4" w:themeFill="text2" w:themeFillTint="33"/>
          </w:tcPr>
          <w:p>
            <w:pPr>
              <w:spacing w:after="0" w:line="240" w:lineRule="auto"/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7"/>
          </w:tcPr>
          <w:p>
            <w:pPr>
              <w:tabs>
                <w:tab w:val="left" w:pos="155"/>
                <w:tab w:val="left" w:pos="318"/>
                <w:tab w:val="center" w:pos="4513"/>
                <w:tab w:val="right" w:pos="9026"/>
              </w:tabs>
              <w:spacing w:after="0" w:line="240" w:lineRule="auto"/>
              <w:ind w:left="0" w:firstLine="0"/>
              <w:rPr>
                <w:rFonts w:ascii="TH SarabunPSK Bold" w:eastAsia="Calibri" w:hAnsi="TH SarabunPSK Bold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 Bold" w:eastAsia="Calibri" w:hAnsi="TH SarabunPSK Bold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  <w:r>
              <w:rPr>
                <w:rFonts w:ascii="TH SarabunPSK Bold" w:eastAsia="Calibri" w:hAnsi="TH SarabunPSK Bold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นโยบายของหน่วยงานและการสนับสนุนเพื่อให้เกิดการบริหารราชการแบบมีส่วนร่วมที่นำมาใช้ในการแก้ไขปัญหาหรือพัฒนา</w:t>
            </w:r>
          </w:p>
        </w:tc>
      </w:tr>
      <w:tr>
        <w:trPr>
          <w:trHeight w:val="20"/>
          <w:jc w:val="center"/>
        </w:trPr>
        <w:tc>
          <w:tcPr>
            <w:tcW w:w="589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>
        <w:trPr>
          <w:trHeight w:val="20"/>
          <w:jc w:val="center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tabs>
                <w:tab w:val="right" w:pos="635"/>
              </w:tabs>
              <w:spacing w:after="0" w:line="240" w:lineRule="auto"/>
              <w:ind w:left="27" w:right="0" w:hanging="281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      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br/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-108" w:right="-108" w:firstLine="0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1109"/>
          <w:jc w:val="center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12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right="12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0" w:right="35" w:firstLine="0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หน่วยงานมีนโยบายการมีส่วนร่วมอย่างไร</w:t>
            </w:r>
            <w:r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และการสนับสนุนเพื่อให้เกิดการบริหารราชการแบบมีส่วนร่วมที่นำมาใช้ในการแก้ไขปัญหาหรือพัฒนา</w:t>
            </w:r>
          </w:p>
          <w:p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0" w:right="35" w:firstLine="0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  <w:p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0" w:right="35" w:firstLine="0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  <w:p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0" w:right="35" w:firstLine="0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  <w:p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0" w:right="35" w:firstLine="0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  <w:p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0" w:right="35" w:firstLine="0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  <w:p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0" w:right="35" w:firstLine="0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>
            <w:pPr>
              <w:spacing w:after="0" w:line="240" w:lineRule="auto"/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4. </w:t>
            </w: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แนวทางการขับเคลื่อนนโยบายไปสู่การปฏิบัติ </w:t>
            </w:r>
          </w:p>
        </w:tc>
      </w:tr>
      <w:tr>
        <w:trPr>
          <w:trHeight w:val="20"/>
          <w:jc w:val="center"/>
        </w:trPr>
        <w:tc>
          <w:tcPr>
            <w:tcW w:w="589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33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shd w:val="clear" w:color="auto" w:fill="E7E6E6" w:themeFill="background2"/>
            <w:vAlign w:val="center"/>
          </w:tcPr>
          <w:p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33" w:firstLine="17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>
        <w:trPr>
          <w:trHeight w:val="448"/>
          <w:jc w:val="center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tabs>
                <w:tab w:val="right" w:pos="635"/>
              </w:tabs>
              <w:spacing w:after="0" w:line="240" w:lineRule="auto"/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ไม่มี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</w:rPr>
              <w:t>/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ไม่ได้ดำเนิ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tabs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22" w:right="31" w:hanging="22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shd w:val="clear" w:color="auto" w:fill="E7E6E6" w:themeFill="background2"/>
          </w:tcPr>
          <w:p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33" w:firstLine="1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384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หน่วยงานมีการดำเนินการอย่างไร</w:t>
            </w:r>
            <w:r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เพื่อนำนโยบายไปสู่การปฏิบัติอย่างเป็น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รูปธรรม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>
        <w:trPr>
          <w:trHeight w:val="384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(1)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สื่อสารถ่ายทอดนโยบาย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</w:tcBorders>
          </w:tcPr>
          <w:p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>
        <w:trPr>
          <w:trHeight w:val="37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</w:tcBorders>
          </w:tcPr>
          <w:p>
            <w:pPr>
              <w:spacing w:after="0" w:line="240" w:lineRule="auto"/>
              <w:ind w:left="0" w:right="11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(2)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การสร้างวัฒนธรรม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</w:tcBorders>
          </w:tcPr>
          <w:p>
            <w:pPr>
              <w:spacing w:after="0" w:line="240" w:lineRule="auto"/>
              <w:ind w:left="0" w:right="27" w:firstLine="0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>
        <w:trPr>
          <w:trHeight w:val="39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</w:tcBorders>
          </w:tcPr>
          <w:p>
            <w:pPr>
              <w:spacing w:after="0" w:line="240" w:lineRule="auto"/>
              <w:ind w:left="0" w:right="11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(3)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การกำหนดผู้รับผิดชอบและการติดตามประเมินผล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</w:tcBorders>
          </w:tcPr>
          <w:p>
            <w:pPr>
              <w:spacing w:after="0" w:line="240" w:lineRule="auto"/>
              <w:ind w:left="-33" w:firstLine="0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>
        <w:trPr>
          <w:trHeight w:val="394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</w:tcBorders>
          </w:tcPr>
          <w:p>
            <w:pPr>
              <w:spacing w:after="0" w:line="240" w:lineRule="auto"/>
              <w:ind w:left="0" w:right="11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(4)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การจัดสรรทรัพยากรให้เพียงพอกับภารกิจ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</w:tcBorders>
          </w:tcPr>
          <w:p>
            <w:pPr>
              <w:spacing w:after="0" w:line="240" w:lineRule="auto"/>
              <w:ind w:left="-33" w:firstLine="62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>
        <w:trPr>
          <w:trHeight w:val="20"/>
          <w:jc w:val="center"/>
        </w:trPr>
        <w:tc>
          <w:tcPr>
            <w:tcW w:w="4005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</w:tcPr>
          <w:p>
            <w:pPr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มิติที่ 2 :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กระบวนการมีส่วนร่วม</w:t>
            </w:r>
          </w:p>
        </w:tc>
        <w:tc>
          <w:tcPr>
            <w:tcW w:w="995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CB9CA" w:themeFill="text2" w:themeFillTint="66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4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</w:p>
        </w:tc>
      </w:tr>
      <w:tr>
        <w:trPr>
          <w:trHeight w:val="20"/>
          <w:jc w:val="center"/>
        </w:trPr>
        <w:tc>
          <w:tcPr>
            <w:tcW w:w="4005" w:type="pct"/>
            <w:gridSpan w:val="5"/>
            <w:tcBorders>
              <w:right w:val="nil"/>
            </w:tcBorders>
            <w:shd w:val="clear" w:color="auto" w:fill="D5DCE4" w:themeFill="text2" w:themeFillTint="33"/>
            <w:vAlign w:val="center"/>
          </w:tcPr>
          <w:p>
            <w:pPr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5. 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รายละเอียดของดำเนินงาน</w:t>
            </w:r>
          </w:p>
        </w:tc>
        <w:tc>
          <w:tcPr>
            <w:tcW w:w="995" w:type="pct"/>
            <w:gridSpan w:val="2"/>
            <w:tcBorders>
              <w:left w:val="nil"/>
            </w:tcBorders>
            <w:shd w:val="clear" w:color="auto" w:fill="D5DCE4" w:themeFill="text2" w:themeFillTint="33"/>
            <w:vAlign w:val="center"/>
          </w:tcPr>
          <w:p>
            <w:pPr>
              <w:spacing w:after="0" w:line="240" w:lineRule="auto"/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>
        <w:trPr>
          <w:trHeight w:val="444"/>
          <w:jc w:val="center"/>
        </w:trPr>
        <w:tc>
          <w:tcPr>
            <w:tcW w:w="5000" w:type="pct"/>
            <w:gridSpan w:val="7"/>
          </w:tcPr>
          <w:p>
            <w:pPr>
              <w:spacing w:after="0" w:line="240" w:lineRule="auto"/>
              <w:ind w:left="0" w:firstLine="1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5.1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รูปแบบในการนำกระบวนการในการสร้างการมีส่วนร่วมในการดำเนินการตั้งแต่ระดับการให้ข้อมูล (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Inform)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การให้คำปรึกษาหารือ (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Consult)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การเข้ามามีบทบาท (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Involve)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และในระดับความร่วมมือ (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Collaborate)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มาใช้ในการดำเนินงานตั้งแต่ต้นจนสิ้นสุดโครงการ และมีความโดดเด่นที่แตกต่างที่สามารถแก้ไขปัญหาที่มี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ค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วามยากลำบากที่เกิดขึ้นได้</w:t>
            </w:r>
            <w:r>
              <w:rPr>
                <w:spacing w:val="-4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</w:tc>
      </w:tr>
      <w:tr>
        <w:trPr>
          <w:trHeight w:val="20"/>
          <w:jc w:val="center"/>
        </w:trPr>
        <w:tc>
          <w:tcPr>
            <w:tcW w:w="589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shd w:val="clear" w:color="auto" w:fill="E7E6E6" w:themeFill="background2"/>
            <w:vAlign w:val="center"/>
          </w:tcPr>
          <w:p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after="0" w:line="240" w:lineRule="auto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>
        <w:trPr>
          <w:trHeight w:val="481"/>
          <w:jc w:val="center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ไม่มี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/</w:t>
            </w: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</w:t>
            </w:r>
            <w: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tabs>
                <w:tab w:val="right" w:pos="635"/>
              </w:tabs>
              <w:spacing w:after="0" w:line="240" w:lineRule="auto"/>
              <w:ind w:left="27" w:right="0" w:hanging="277"/>
              <w:jc w:val="righ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1178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right="-5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-5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32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(1)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การนำกระบวนในการสร้างการมีส่วนร่วมตั้งแต่ระดับการให้ข้อมูล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(Inform)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การให้คำปรึกษาหารือ (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Consult)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การเข้ามามีบทบาท (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Involve)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และในระดับความร่วมมือ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Collaborate)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มาใช้ในการดำเนินงานตั้งแต่ต้นจนสิ้นสุดโครงการ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</w:p>
        </w:tc>
      </w:tr>
      <w:tr>
        <w:trPr>
          <w:trHeight w:val="685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right="-5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32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(2)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ความโดดเด่น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ในการแก้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ไขปัญหาความยากลำบากที่เกิดขึ้นได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้ 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เช่น สามารถนำภูมิปัญญาชาวบ้าน ผลักดันให้ออกเป็นนโยบายและทำข้อตกลงระหว่างหน่วยงานภาครัฐต่างๆ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>
        <w:trPr>
          <w:trHeight w:val="435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5.2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กลไก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การกำกับดูแลบริหารจัดการกลุ่ม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เครือข่ายที่รัฐได้จัดตั้งขึ้นหรือเครือข่ายที่ประชาชนได้ก่อตั้งขึ้นมา</w:t>
            </w:r>
            <w:r>
              <w:rPr>
                <w:rFonts w:ascii="TH SarabunPSK" w:eastAsia="Calibri" w:hAnsi="TH SarabunPSK" w:cs="TH SarabunPSK" w:hint="cs"/>
                <w:spacing w:val="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</w:tr>
      <w:tr>
        <w:trPr>
          <w:trHeight w:val="435"/>
          <w:jc w:val="center"/>
        </w:trPr>
        <w:tc>
          <w:tcPr>
            <w:tcW w:w="58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37" w:firstLine="133"/>
              <w:jc w:val="center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>
        <w:trPr>
          <w:trHeight w:val="435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4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-108" w:firstLine="0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590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>
        <w:trPr>
          <w:trHeight w:val="426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หลังจากที่มีการจัดตั้งเป็นกลุ่ม/เครือข่าย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ของประชาชน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มีรายละเอียดของกลุ่ม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เครือข่าย อย่างไรบ้าง เช่น</w:t>
            </w:r>
          </w:p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1. 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ของ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ผู้นำ/เครือข่าย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ที่เกี่ยวข้อง</w:t>
            </w:r>
          </w:p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2. 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ฉันทามติ </w:t>
            </w:r>
          </w:p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3. 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เงินทุน </w:t>
            </w:r>
          </w:p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ผู้ประสานงานเครือข่าย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</w:p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5. 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การกำหนดกรอบการทำงานร่วมกัน</w:t>
            </w:r>
          </w:p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 xml:space="preserve">6. </w:t>
            </w:r>
            <w:r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>การกำหนดบทบาทและความรับผิดชอบ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7. 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กลุ่มผู้ได้ส่วนได้ส่วนเสียในเครือข่าย </w:t>
            </w:r>
          </w:p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21" w:right="0" w:firstLine="0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8. 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การสร้างความไว้เนื้อเชื่อใจระหว่างเครือข่าย</w:t>
            </w: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</w:p>
        </w:tc>
      </w:tr>
      <w:tr>
        <w:trPr>
          <w:trHeight w:val="42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lastRenderedPageBreak/>
              <w:t xml:space="preserve">5.3 </w:t>
            </w:r>
            <w:r>
              <w:rPr>
                <w:rFonts w:ascii="TH SarabunPSK" w:eastAsia="Tahoma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บทบาท</w:t>
            </w:r>
            <w:r>
              <w:rPr>
                <w:rFonts w:ascii="TH SarabunPSK" w:eastAsia="Tahoma" w:hAnsi="TH SarabunPSK" w:cs="TH SarabunPSK" w:hint="cs"/>
                <w:color w:val="000000" w:themeColor="text1"/>
                <w:kern w:val="36"/>
                <w:sz w:val="32"/>
                <w:szCs w:val="32"/>
                <w:cs/>
              </w:rPr>
              <w:t>ของแต่ละ</w:t>
            </w:r>
            <w:r>
              <w:rPr>
                <w:rFonts w:ascii="TH SarabunPSK" w:eastAsia="Tahoma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ภาคส่วน</w:t>
            </w:r>
            <w:r>
              <w:rPr>
                <w:rFonts w:ascii="TH SarabunPSK" w:eastAsia="Tahoma" w:hAnsi="TH SarabunPSK" w:cs="TH SarabunPSK" w:hint="cs"/>
                <w:color w:val="000000" w:themeColor="text1"/>
                <w:kern w:val="36"/>
                <w:sz w:val="32"/>
                <w:szCs w:val="32"/>
                <w:cs/>
              </w:rPr>
              <w:t xml:space="preserve">อื่นในการขับเคลื่อนการดำเนินการ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</w:tr>
      <w:tr>
        <w:trPr>
          <w:trHeight w:val="426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ภาคส่วนใดบ้างที่เข้ามามีบทบาท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ในการขับเคลื่อนการดำเนินโครงการภาคส่วน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ใดบ้าง และ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มี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บทบาท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ในการขับเคลื่อนการดำเนินโครงการ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อย่างไร</w:t>
            </w:r>
          </w:p>
          <w:p>
            <w:pPr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</w:p>
        </w:tc>
      </w:tr>
      <w:tr>
        <w:trPr>
          <w:trHeight w:val="42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5.4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การดำเนินงานที่สำคัญในการ</w:t>
            </w:r>
            <w:r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ขับเคลื่อนสร้างความร่วมมือเชิงบูรณาการ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ของทุกภาคส่วนที่เกี่ยวข้อง</w:t>
            </w:r>
            <w:r>
              <w:rPr>
                <w:rFonts w:ascii="TH SarabunPSK" w:eastAsia="Calibri" w:hAnsi="TH SarabunPSK" w:cs="TH SarabunPSK" w:hint="cs"/>
                <w:spacing w:val="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(15 คะแนน)</w:t>
            </w:r>
          </w:p>
        </w:tc>
      </w:tr>
      <w:tr>
        <w:trPr>
          <w:trHeight w:val="577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โครงการมีกลไกหรือวิธีการที่ใช้ในการขับเคลื่อนการสร้างความร่วมมือเชิงบูรณาการ รวมถึงที่มาและแนวทางของการทำงานแบบมีส่วนร่วมของผู้มีส่วนได้ส่วนเสียอย่างไร</w:t>
            </w:r>
          </w:p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2"/>
                <w:sz w:val="32"/>
                <w:szCs w:val="32"/>
                <w:u w:val="single"/>
                <w:cs/>
              </w:rPr>
            </w:pPr>
          </w:p>
        </w:tc>
      </w:tr>
      <w:tr>
        <w:trPr>
          <w:trHeight w:val="39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  <w:t xml:space="preserve">5.5 </w:t>
            </w:r>
            <w:r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  <w:t>การนำนวัตกรรมหรือเทคโนโลยีที่ใช้เอื้อให้ประชาชนเข้ามามีส่วนร่วมสอดคล้องกับบริบทของพื้นที่</w:t>
            </w:r>
            <w:r>
              <w:rPr>
                <w:rFonts w:ascii="TH SarabunPSK" w:eastAsia="Calibri" w:hAnsi="TH SarabunPSK" w:cs="TH SarabunPSK" w:hint="cs"/>
                <w:spacing w:val="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</w:tr>
      <w:tr>
        <w:trPr>
          <w:trHeight w:val="687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43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โครงการมีการนำนวัตกรรมหรือเทคโนโลยีที่ใช้เอื้อให้ประชาชนเข้ามามีส่วนร่วมสอดคล้องกับบริบทของพื้นที่อย่างไร</w:t>
            </w:r>
          </w:p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43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43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43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43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  <w:p>
            <w:pPr>
              <w:tabs>
                <w:tab w:val="center" w:pos="4513"/>
                <w:tab w:val="right" w:pos="9026"/>
              </w:tabs>
              <w:spacing w:after="0" w:line="240" w:lineRule="auto"/>
              <w:ind w:left="43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>
        <w:trPr>
          <w:trHeight w:val="327"/>
          <w:jc w:val="center"/>
        </w:trPr>
        <w:tc>
          <w:tcPr>
            <w:tcW w:w="4005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</w:tcPr>
          <w:p>
            <w:pPr>
              <w:tabs>
                <w:tab w:val="left" w:pos="284"/>
                <w:tab w:val="left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lastRenderedPageBreak/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3 :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ผลผลิต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ผลกระทบ</w:t>
            </w:r>
          </w:p>
        </w:tc>
        <w:tc>
          <w:tcPr>
            <w:tcW w:w="995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CB9CA" w:themeFill="text2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40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คะแนน</w:t>
            </w:r>
          </w:p>
        </w:tc>
      </w:tr>
      <w:tr>
        <w:trPr>
          <w:trHeight w:val="327"/>
          <w:jc w:val="center"/>
        </w:trPr>
        <w:tc>
          <w:tcPr>
            <w:tcW w:w="4005" w:type="pct"/>
            <w:gridSpan w:val="5"/>
            <w:tcBorders>
              <w:right w:val="nil"/>
            </w:tcBorders>
            <w:shd w:val="clear" w:color="auto" w:fill="D5DCE4" w:themeFill="text2" w:themeFillTint="33"/>
          </w:tcPr>
          <w:p>
            <w:pPr>
              <w:tabs>
                <w:tab w:val="left" w:pos="284"/>
                <w:tab w:val="left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6. 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ผลผลิต/ 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ผล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ลัพธ์ 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ผลกระทบ ของการดำเนินงาน</w:t>
            </w:r>
          </w:p>
        </w:tc>
        <w:tc>
          <w:tcPr>
            <w:tcW w:w="995" w:type="pct"/>
            <w:gridSpan w:val="2"/>
            <w:tcBorders>
              <w:left w:val="nil"/>
            </w:tcBorders>
            <w:shd w:val="clear" w:color="auto" w:fill="D5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  6.1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ผลผลิตจากการดำเนินงานในการสร้างการมีส่วนร่วม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ของหน่วยงาน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คะแนน)</w:t>
            </w:r>
          </w:p>
        </w:tc>
      </w:tr>
      <w:tr>
        <w:trPr>
          <w:trHeight w:val="20"/>
          <w:jc w:val="center"/>
        </w:trPr>
        <w:tc>
          <w:tcPr>
            <w:tcW w:w="589" w:type="pct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>
        <w:trPr>
          <w:trHeight w:val="20"/>
          <w:jc w:val="center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1023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-108" w:hanging="11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>
            <w:pPr>
              <w:tabs>
                <w:tab w:val="center" w:pos="-500"/>
                <w:tab w:val="right" w:pos="588"/>
              </w:tabs>
              <w:spacing w:after="0" w:line="240" w:lineRule="auto"/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2986"/>
              </w:tabs>
              <w:spacing w:after="0" w:line="240" w:lineRule="auto"/>
              <w:ind w:left="-14" w:right="5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ของการดำเนินการ/โครงการที่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สำคัญคืออะไร </w:t>
            </w:r>
            <w:r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อธิบายให้ชัดเจนเชิงสถิติ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รวมทั้งแสดงตัวชี้วัดที่วัดความสำเร็จของการดำเนินการ/โครงการ พร้อมยกตัวอย่าง</w:t>
            </w:r>
          </w:p>
        </w:tc>
        <w:tc>
          <w:tcPr>
            <w:tcW w:w="2590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>
        <w:trPr>
          <w:trHeight w:val="479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ind w:left="0" w:right="58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6.2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ลัพธ์จากการดำเนินงานในการสร้างการมีส่วนร่วมของหน่วยงานที่นำไปสู่การเปลี่ยนแปลงอย่างมีนัยสำคัญในพื้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คะแนน)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>
        <w:trPr>
          <w:trHeight w:val="479"/>
          <w:jc w:val="center"/>
        </w:trPr>
        <w:tc>
          <w:tcPr>
            <w:tcW w:w="5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left="179" w:right="58" w:hanging="9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>
        <w:trPr>
          <w:trHeight w:val="479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>
            <w:pPr>
              <w:spacing w:after="0" w:line="240" w:lineRule="auto"/>
              <w:ind w:right="58" w:hanging="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pct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>
            <w:pPr>
              <w:spacing w:after="0" w:line="240" w:lineRule="auto"/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>
        <w:trPr>
          <w:trHeight w:val="491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-108" w:hanging="11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>
            <w:pPr>
              <w:tabs>
                <w:tab w:val="center" w:pos="-500"/>
                <w:tab w:val="right" w:pos="588"/>
              </w:tabs>
              <w:spacing w:after="0" w:line="240" w:lineRule="auto"/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0" w:right="35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ลัพธ์จากการดำเนินงานในการสร้างการมีส่วนร่วมของหน่วยงานที่นำไปสู่การเปลี่ยนแปลงอย่างมีนัยสำคัญ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  <w:t>ในพื้นที่ (แสดงข้อมูลและตัวเลขที่สนับสนุนที่ชัดเจน)</w:t>
            </w:r>
          </w:p>
        </w:tc>
        <w:tc>
          <w:tcPr>
            <w:tcW w:w="2590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>
        <w:trPr>
          <w:trHeight w:val="491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ind w:left="0" w:right="58" w:firstLine="169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 Bold" w:hAnsi="TH SarabunPSK Bold" w:cs="TH SarabunPSK"/>
                <w:spacing w:val="-10"/>
                <w:sz w:val="32"/>
                <w:szCs w:val="32"/>
              </w:rPr>
              <w:t xml:space="preserve">6.3.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ประโยชน์ที่ประชาชน กลุ่มเป้าหมาย และหน่วยงานได้รับจากกระบวนการมีส่วนร่วมที่สร้างผลกระทบสูงกับคุณภาพชีวิตความเป็นอยู่ของประชาชน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</w:tc>
      </w:tr>
      <w:tr>
        <w:trPr>
          <w:trHeight w:val="491"/>
          <w:jc w:val="center"/>
        </w:trPr>
        <w:tc>
          <w:tcPr>
            <w:tcW w:w="589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left="37" w:right="58" w:firstLine="1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>
        <w:trPr>
          <w:trHeight w:val="491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>
            <w:pPr>
              <w:spacing w:after="0" w:line="240" w:lineRule="auto"/>
              <w:ind w:left="34" w:right="5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0" w:type="pct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>
            <w:pPr>
              <w:spacing w:after="0" w:line="240" w:lineRule="auto"/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>
        <w:trPr>
          <w:trHeight w:val="258"/>
          <w:jc w:val="center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-38" w:right="-108" w:hanging="7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>
            <w:pPr>
              <w:tabs>
                <w:tab w:val="center" w:pos="-500"/>
                <w:tab w:val="right" w:pos="588"/>
              </w:tabs>
              <w:spacing w:after="0" w:line="240" w:lineRule="auto"/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0" w:right="35" w:firstLine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การดำเนินการ/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มีประโยชน์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ที่ต่อสำคัญ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ประชาชน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กลุ่มเป้าหมาย หน่วยงานคืออะไร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จากกระบวนการมีส่วนร่วมที่สร้างผลกระทบสูงกับคุณภาพชีวิตความเป็นอยู่ของประชาชน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แสดงข้อมูลและตัวเลขที่สนับสนุนที่ชัดเจน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)</w:t>
            </w:r>
          </w:p>
        </w:tc>
        <w:tc>
          <w:tcPr>
            <w:tcW w:w="2590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  <w:jc w:val="center"/>
        </w:trPr>
        <w:tc>
          <w:tcPr>
            <w:tcW w:w="3971" w:type="pct"/>
            <w:gridSpan w:val="4"/>
            <w:tcBorders>
              <w:right w:val="single" w:sz="4" w:space="0" w:color="auto"/>
            </w:tcBorders>
            <w:shd w:val="clear" w:color="auto" w:fill="ACB9CA" w:themeFill="text2" w:themeFillTint="66"/>
          </w:tcPr>
          <w:p>
            <w:pPr>
              <w:spacing w:after="0" w:line="240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lastRenderedPageBreak/>
              <w:t xml:space="preserve">มิติที่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ความยั่งยืน</w:t>
            </w:r>
          </w:p>
        </w:tc>
        <w:tc>
          <w:tcPr>
            <w:tcW w:w="1029" w:type="pct"/>
            <w:gridSpan w:val="3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10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. การถ่ายทอดบทเรียนและผลการดำเนินการเพื่อให้หน่วยงานอื่นสามารถนำไปศึกษาและเป็นต้นแบบ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</w:tr>
      <w:tr>
        <w:trPr>
          <w:trHeight w:val="20"/>
          <w:jc w:val="center"/>
        </w:trPr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left="37" w:right="34" w:hanging="37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>
        <w:trPr>
          <w:trHeight w:val="583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shd w:val="clear" w:color="auto" w:fill="E7E6E6" w:themeFill="background2"/>
          </w:tcPr>
          <w:p>
            <w:pPr>
              <w:spacing w:after="0" w:line="240" w:lineRule="auto"/>
              <w:ind w:right="34"/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left="0" w:right="0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การถ่ายทอดบทเรียนและผลการดำเนินการเพื่อให้หน่วยงานอื่นสามารถนำไปศึกษาและเป็นต้นแบบ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(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หากมีต้องแสดงรายละเอียด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)</w:t>
            </w:r>
          </w:p>
          <w:p>
            <w:pPr>
              <w:spacing w:after="0" w:line="240" w:lineRule="auto"/>
              <w:ind w:left="0" w:right="0" w:firstLine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</w:tcPr>
          <w:p>
            <w:pPr>
              <w:spacing w:after="0" w:line="240" w:lineRule="auto"/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8. </w:t>
            </w:r>
            <w:r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>ความยั่งยืนระดับ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นโยบาย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(การจัด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Roadmap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ในการขยายผล</w:t>
            </w:r>
            <w:r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 xml:space="preserve"> หรือการบรรจุโครงการไว้ในแผนปฏิบัติ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</w:tr>
      <w:tr>
        <w:trPr>
          <w:trHeight w:val="20"/>
          <w:jc w:val="center"/>
        </w:trPr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21" w:type="pct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left="34" w:firstLine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590" w:type="pct"/>
            <w:gridSpan w:val="4"/>
            <w:vMerge w:val="restart"/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left="102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821" w:type="pct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left="34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  <w:vMerge/>
            <w:shd w:val="clear" w:color="auto" w:fill="E7E6E6" w:themeFill="background2"/>
            <w:vAlign w:val="center"/>
          </w:tcPr>
          <w:p>
            <w:pPr>
              <w:spacing w:after="0" w:line="240" w:lineRule="auto"/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1821" w:type="pct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left="0" w:right="0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แนวทางหรือแผนในการพัฒนาความยั่งยืนของเครือข่ายให้เกิดเสถียรภาพ ให้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ดำเนินการได้อย่างต่อเนื่อง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เช่น การมีแผนในรับ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สมาชิกเครือข่ายมากขึ้น สร้างคนรุ่นใหม่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ในการพัฒนาต่อเนื่อง แผนการดึงภาคเอกชนเข้ามาสร้างความร่วมมือ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ให้เกิดขึ้นในพื้นที่ </w:t>
            </w:r>
          </w:p>
          <w:p>
            <w:pPr>
              <w:spacing w:after="0" w:line="240" w:lineRule="auto"/>
              <w:ind w:left="0" w:right="0" w:firstLine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590" w:type="pct"/>
            <w:gridSpan w:val="4"/>
          </w:tcPr>
          <w:p>
            <w:pPr>
              <w:spacing w:after="0" w:line="240" w:lineRule="auto"/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trike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หน่วยงานสามารถแนบเอกสารประกอบเพิ่มเติม โดยระบุชื่อเอกสารตามหัวข้อคำถาม เช่น เอกสารแนบคำถามข้อ 5.1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รูปแบบในการนำกระบวนการในการสร้างการมีส่วนร่วม</w:t>
      </w:r>
    </w:p>
    <w:p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  <w:sectPr>
          <w:headerReference w:type="default" r:id="rId13"/>
          <w:footerReference w:type="default" r:id="rId14"/>
          <w:pgSz w:w="16840" w:h="11907" w:orient="landscape" w:code="9"/>
          <w:pgMar w:top="1440" w:right="1440" w:bottom="1021" w:left="992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>____________________</w:t>
      </w:r>
      <w:bookmarkStart w:id="3" w:name="_GoBack"/>
      <w:bookmarkEnd w:id="3"/>
    </w:p>
    <w:p>
      <w:pPr>
        <w:rPr>
          <w:rFonts w:ascii="TH SarabunPSK" w:hAnsi="TH SarabunPSK" w:cs="TH SarabunPSK" w:hint="cs"/>
          <w:sz w:val="32"/>
          <w:szCs w:val="32"/>
        </w:rPr>
      </w:pPr>
    </w:p>
    <w:sectPr>
      <w:pgSz w:w="16840" w:h="11907" w:orient="landscape" w:code="9"/>
      <w:pgMar w:top="1440" w:right="1440" w:bottom="102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altName w:val="Arial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>
      <w:trPr>
        <w:trHeight w:val="360"/>
      </w:trPr>
      <w:tc>
        <w:tcPr>
          <w:tcW w:w="3511" w:type="pct"/>
        </w:tcPr>
        <w:p>
          <w:pPr>
            <w:pStyle w:val="aa"/>
            <w:rPr>
              <w:rFonts w:ascii="TH SarabunPSK" w:hAnsi="TH SarabunPSK" w:cs="TH SarabunPSK"/>
              <w:b/>
              <w:b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>
          <w:pPr>
            <w:pStyle w:val="aa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>
    <w:pPr>
      <w:pStyle w:val="aa"/>
    </w:pPr>
  </w:p>
  <w:p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6054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2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871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8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16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>
                          <w:pPr>
                            <w:rPr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5pt;margin-top:-16pt;width:323.1pt;height:5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XyCwIAAPMDAAAOAAAAZHJzL2Uyb0RvYy54bWysU9tu2zAMfR+wfxD0vthJk7Q14hRduw4D&#10;ugvQ7gMYWY6FSaImKbGzrx8lp2mwvQ3TgyCJ5CHPIbW6GYxme+mDQlvz6aTkTFqBjbLbmn9/fnh3&#10;xVmIYBvQaGXNDzLwm/XbN6veVXKGHepGekYgNlS9q3kXo6uKIohOGggTdNKSsUVvINLVb4vGQ0/o&#10;RhezslwWPfrGeRQyBHq9H418nfHbVor4tW2DjEzXnGqLefd536S9WK+g2npwnRLHMuAfqjCgLCU9&#10;Qd1DBLbz6i8oo4THgG2cCDQFtq0SMnMgNtPyDzZPHTiZuZA4wZ1kCv8PVnzZf/NMNdS7BWcWDPXo&#10;WQ6RvceBzZI8vQsVeT058osDPZNrphrcI4ofgVm868Bu5a332HcSGipvmiKLs9ARJySQTf8ZG0oD&#10;u4gZaGi9SdqRGozQqU2HU2tSKYIe59Py4uKSTIJsy/lsOcu9K6B6iXY+xI8SDUuHmntqfUaH/WOI&#10;qRqoXlxSMosPSuvcfm1ZX/PrxWyRA84sRkWaTq1Mza/KtMZ5SSQ/2CYHR1B6PFMCbY+sE9GRchw2&#10;AzkmKTbYHIi/x3EK6dfQoUP/i7OeJrDm4ecOvORMf7Kk4fV0Pk8jmy/zxSUxZv7csjm3gBUEVfPI&#10;2Xi8i3nMR663pHWrsgyvlRxrpcnK6hx/QRrd83v2ev2r698AAAD//wMAUEsDBBQABgAIAAAAIQD/&#10;3y+W3gAAAAkBAAAPAAAAZHJzL2Rvd25yZXYueG1sTI/LbsIwEEX3lfoP1lTqDmzSAk2Ig1CrbltB&#10;HxI7Ew9JRDyOYkPSv++wapeje3Tn3Hw9ulZcsA+NJw2zqQKBVHrbUKXh8+N18gQiREPWtJ5Qww8G&#10;WBe3N7nJrB9oi5ddrASXUMiMhjrGLpMylDU6E6a+Q+Ls6HtnIp99JW1vBi53rUyUWkhnGuIPtenw&#10;ucbytDs7DV9vx/33o3qvXty8G/yoJLlUan1/N25WICKO8Q+Gqz6rQ8FOB38mG0SrYZEumdQweUh4&#10;EwPL2TwFcbgmCcgil/8XFL8AAAD//wMAUEsBAi0AFAAGAAgAAAAhALaDOJL+AAAA4QEAABMAAAAA&#10;AAAAAAAAAAAAAAAAAFtDb250ZW50X1R5cGVzXS54bWxQSwECLQAUAAYACAAAACEAOP0h/9YAAACU&#10;AQAACwAAAAAAAAAAAAAAAAAvAQAAX3JlbHMvLnJlbHNQSwECLQAUAAYACAAAACEA5tSV8gsCAADz&#10;AwAADgAAAAAAAAAAAAAAAAAuAgAAZHJzL2Uyb0RvYy54bWxQSwECLQAUAAYACAAAACEA/98vlt4A&#10;AAAJAQAADwAAAAAAAAAAAAAAAABlBAAAZHJzL2Rvd25yZXYueG1sUEsFBgAAAAAEAAQA8wAAAHAF&#10;AAAAAA==&#10;" filled="f" stroked="f">
              <v:textbox>
                <w:txbxContent>
                  <w:p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br/>
                    </w: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  <w:t>5</w:t>
                    </w:r>
                  </w:p>
                  <w:p>
                    <w:pPr>
                      <w:rPr>
                        <w:color w:val="1F3864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rPr>
        <w:rFonts w:ascii="TH Baijam" w:hAnsi="TH Baijam" w:cs="TH Baijam"/>
        <w:b/>
        <w:bCs/>
        <w:spacing w:val="-4"/>
        <w:sz w:val="24"/>
        <w:szCs w:val="32"/>
      </w:rPr>
    </w:pPr>
  </w:p>
  <w:p>
    <w:pPr>
      <w:pStyle w:val="a5"/>
      <w:rPr>
        <w:rFonts w:ascii="TH Baijam" w:hAnsi="TH Baijam" w:cs="TH Baijam"/>
        <w:b/>
        <w:bCs/>
        <w:spacing w:val="-4"/>
        <w:sz w:val="24"/>
        <w:szCs w:val="32"/>
        <w:rtl/>
        <w:cs/>
      </w:rPr>
    </w:pPr>
    <w:r>
      <w:rPr>
        <w:noProof/>
        <w:lang w:bidi="th-TH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17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th-TH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18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434339</wp:posOffset>
              </wp:positionH>
              <wp:positionV relativeFrom="paragraph">
                <wp:posOffset>-450215</wp:posOffset>
              </wp:positionV>
              <wp:extent cx="4962525" cy="1028700"/>
              <wp:effectExtent l="0" t="0" r="9525" b="0"/>
              <wp:wrapNone/>
              <wp:docPr id="7" name="สี่เหลี่ยมผืนผ้า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1028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7" o:spid="_x0000_s1027" style="position:absolute;margin-left:34.2pt;margin-top:-35.45pt;width:390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hdrQIAAGQFAAAOAAAAZHJzL2Uyb0RvYy54bWysVM1u1DAQviPxDpbvND/adttVs9WqVRFS&#10;1Va0qGevY3cjHNvY3k2WE0d4BCQuIHGBGxIifZs8CmMnm5ayJ8TFnvH8j7+Zw6O6FGjFjC2UzHCy&#10;E2PEJFV5IW8z/Or69Nk+RtYRmROhJMvwmll8NH365LDSE5aqhRI5MwicSDupdIYXzulJFFm6YCWx&#10;O0ozCUKuTEkcsOY2yg2pwHspojSO96JKmVwbRZm18HrSCfE0+OecUXfBuWUOiQxDbi6cJpxzf0bT&#10;QzK5NUQvCtqnQf4hi5IUEoIOrk6II2hpir9clQU1yirudqgqI8V5QVmoAapJ4kfVXC2IZqEWaI7V&#10;Q5vs/3NLz1eXBhV5hscYSVLCF7XNt7b52d69b+/etc33tvnas82XtvncNp/a5lfbfPTE3Ye2+YHG&#10;vouVthNwdqUvTc9ZIH1Lam5Kf0OxqA6dXw+dZ7VDFB5HB3vpbrqLEQVZEqf74zj8TXRvro11z5kq&#10;kScybOBrQ8fJ6sw6CAmqGxUfTUh/SnVaCNFJ/Uvk0+wSC5RbC9Zpv2Qc2gCppMFrACA7FgatCECH&#10;UMqk2/OFQhwhQdubcXA+GCbbDIVLeqNe15uxAMzBMN5m+GfEwSJEVdINxmUhldnmIH89RO70N9V3&#10;NfvyXT2vw98HTf8yV/ka8GBUNyhW09MC2n1GrLskBiYDZgim3V3AwYWqMqx6CqOFMm+3vXt9ACxI&#10;Mapg0jJs3yyJYRiJFxKgfJCMRn40AzPaHafAmIeS+UOJXJbHCn4kgb2iaSC9vhMbkhtV3sBSmPmo&#10;ICKSQuwMU2c2zLHrNgCsFcpms6AG46iJO5NXmnrnvs8eTtf1DTG6x5wDuJ6rzVSSySPodbreUqrZ&#10;0ileBFze97X/ARjlAKN+7fhd8ZAPWvfLcfobAAD//wMAUEsDBBQABgAIAAAAIQBjaOZa4QAAAAkB&#10;AAAPAAAAZHJzL2Rvd25yZXYueG1sTI9NT8MwDIbvSPyHyEjctrSsWj+oO6GJiQMHtAISx6zJ2kLj&#10;bE22lX+POcHNlh+9ft5yNdlBnM3oe0cI8TwCYahxuqcW4e11M8tA+KBIq8GRQfg2HlbV9VWpCu0u&#10;tDXnOrSCQ8gXCqEL4VBI6ZvOWOXn7mCIb3s3WhV4HVupR3XhcDvIuyhaSqt64g+dOph1Z5qv+mQR&#10;nj/1MWk/Hl8WfbpO34/JU73ZLxBvb6aHexDBTOEPhl99VoeKnXbuRNqLAWGZJUwizNIoB8FAluQ8&#10;7BDyOAZZlfJ/g+oHAAD//wMAUEsBAi0AFAAGAAgAAAAhALaDOJL+AAAA4QEAABMAAAAAAAAAAAAA&#10;AAAAAAAAAFtDb250ZW50X1R5cGVzXS54bWxQSwECLQAUAAYACAAAACEAOP0h/9YAAACUAQAACwAA&#10;AAAAAAAAAAAAAAAvAQAAX3JlbHMvLnJlbHNQSwECLQAUAAYACAAAACEA4WU4Xa0CAABkBQAADgAA&#10;AAAAAAAAAAAAAAAuAgAAZHJzL2Uyb0RvYy54bWxQSwECLQAUAAYACAAAACEAY2jmWuEAAAAJAQAA&#10;DwAAAAAAAAAAAAAAAAAHBQAAZHJzL2Rvd25yZXYueG1sUEsFBgAAAAAEAAQA8wAAABUGAAAAAA==&#10;" fillcolor="white [3201]" stroked="f" strokeweight="1pt">
              <v:textbox>
                <w:txbxContent>
                  <w:p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</w:p>
                  <w:p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E9A5033"/>
    <w:multiLevelType w:val="hybridMultilevel"/>
    <w:tmpl w:val="D7AC797C"/>
    <w:lvl w:ilvl="0" w:tplc="27205AB4">
      <w:start w:val="1"/>
      <w:numFmt w:val="decimal"/>
      <w:lvlText w:val="%1)"/>
      <w:lvlJc w:val="left"/>
      <w:pPr>
        <w:ind w:left="18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0"/>
  </w:num>
  <w:num w:numId="5">
    <w:abstractNumId w:val="23"/>
  </w:num>
  <w:num w:numId="6">
    <w:abstractNumId w:val="25"/>
  </w:num>
  <w:num w:numId="7">
    <w:abstractNumId w:val="18"/>
  </w:num>
  <w:num w:numId="8">
    <w:abstractNumId w:val="16"/>
  </w:num>
  <w:num w:numId="9">
    <w:abstractNumId w:val="21"/>
  </w:num>
  <w:num w:numId="10">
    <w:abstractNumId w:val="19"/>
  </w:num>
  <w:num w:numId="11">
    <w:abstractNumId w:val="0"/>
  </w:num>
  <w:num w:numId="12">
    <w:abstractNumId w:val="13"/>
  </w:num>
  <w:num w:numId="13">
    <w:abstractNumId w:val="15"/>
  </w:num>
  <w:num w:numId="14">
    <w:abstractNumId w:val="1"/>
  </w:num>
  <w:num w:numId="15">
    <w:abstractNumId w:val="8"/>
  </w:num>
  <w:num w:numId="16">
    <w:abstractNumId w:val="14"/>
  </w:num>
  <w:num w:numId="17">
    <w:abstractNumId w:val="2"/>
  </w:num>
  <w:num w:numId="18">
    <w:abstractNumId w:val="26"/>
  </w:num>
  <w:num w:numId="19">
    <w:abstractNumId w:val="6"/>
  </w:num>
  <w:num w:numId="20">
    <w:abstractNumId w:val="22"/>
  </w:num>
  <w:num w:numId="21">
    <w:abstractNumId w:val="4"/>
  </w:num>
  <w:num w:numId="22">
    <w:abstractNumId w:val="29"/>
  </w:num>
  <w:num w:numId="23">
    <w:abstractNumId w:val="27"/>
  </w:num>
  <w:num w:numId="24">
    <w:abstractNumId w:val="12"/>
  </w:num>
  <w:num w:numId="25">
    <w:abstractNumId w:val="28"/>
  </w:num>
  <w:num w:numId="26">
    <w:abstractNumId w:val="9"/>
  </w:num>
  <w:num w:numId="27">
    <w:abstractNumId w:val="1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6EAA3-F4E2-4658-9EC3-4654CC8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Pr>
      <w:szCs w:val="22"/>
      <w:lang w:bidi="ar-SA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Pr>
      <w:b/>
      <w:bCs/>
      <w:sz w:val="20"/>
      <w:szCs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</w:style>
  <w:style w:type="character" w:customStyle="1" w:styleId="10">
    <w:name w:val="หัวเรื่อง 1 อักขระ"/>
    <w:basedOn w:val="a0"/>
    <w:link w:val="1"/>
    <w:uiPriority w:val="9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</w:style>
  <w:style w:type="paragraph" w:customStyle="1" w:styleId="12">
    <w:name w:val="รายการย่อหน้า1"/>
    <w:basedOn w:val="a"/>
    <w:next w:val="a3"/>
    <w:uiPriority w:val="34"/>
    <w:qFormat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TableGrid6">
    <w:name w:val="Table Grid6"/>
    <w:basedOn w:val="a1"/>
    <w:next w:val="a7"/>
    <w:uiPriority w:val="59"/>
    <w:pPr>
      <w:spacing w:after="0" w:line="240" w:lineRule="auto"/>
      <w:ind w:left="1758" w:right="170" w:hanging="1588"/>
      <w:jc w:val="thaiDistribute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52D9B3-77A1-4E9B-A01B-896ECC62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หลักเกณฑ์การรับสมัครรางวัลคุณภาพกรมปศุสัตว์ ประจำปี พ.ศ. 2565</vt:lpstr>
      <vt:lpstr>(ร่าง) หลักเกณฑ์การรับสมัครรางวัลคุณภาพกรมปศุสัตว์ ประจำปี พ.ศ. 2565</vt:lpstr>
    </vt:vector>
  </TitlesOfParts>
  <Company>โทร. 02 653 4444 ต่อ 1512 -1513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หลักเกณฑ์การรับสมัครรางวัลคุณภาพกรมปศุสัตว์ ประจำปี พ.ศ. 2565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AOM</cp:lastModifiedBy>
  <cp:revision>6</cp:revision>
  <cp:lastPrinted>2016-11-22T01:46:00Z</cp:lastPrinted>
  <dcterms:created xsi:type="dcterms:W3CDTF">2022-11-11T09:53:00Z</dcterms:created>
  <dcterms:modified xsi:type="dcterms:W3CDTF">2022-11-11T09:55:00Z</dcterms:modified>
</cp:coreProperties>
</file>